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20"/>
        <w:gridCol w:w="4320"/>
      </w:tblGrid>
      <w:tr>
        <w:tc>
          <w:tcPr>
            <w:tcW w:type="dxa" w:w="3600"/>
          </w:tcPr>
          <w:p/>
        </w:tc>
        <w:tc>
          <w:tcPr>
            <w:tcW w:type="dxa" w:w="7200"/>
          </w:tcPr>
          <w:p>
            <w:pPr>
              <w:jc w:val="right"/>
            </w:pPr>
            <w:r>
              <w:rPr>
                <w:b/>
                <w:color w:val="0A3D5C"/>
                <w:sz w:val="20"/>
              </w:rPr>
              <w:t>Tim Tatum, CEO</w:t>
            </w:r>
            <w:r>
              <w:br/>
            </w:r>
            <w:r>
              <w:rPr>
                <w:sz w:val="18"/>
              </w:rPr>
              <w:t>(630) 870-1101 x8</w:t>
            </w:r>
            <w:r>
              <w:br/>
            </w:r>
            <w:r>
              <w:rPr>
                <w:color w:val="0A3D5C"/>
                <w:sz w:val="18"/>
              </w:rPr>
              <w:t>timt@sqx.com</w:t>
            </w:r>
          </w:p>
          <w:p>
            <w:pPr>
              <w:jc w:val="right"/>
            </w:pPr>
            <w:r>
              <w:rPr>
                <w:b/>
                <w:color w:val="0A3D5C"/>
                <w:sz w:val="20"/>
              </w:rPr>
              <w:t>Adam Hammond</w:t>
            </w:r>
            <w:r>
              <w:br/>
            </w:r>
            <w:r>
              <w:rPr>
                <w:sz w:val="18"/>
              </w:rPr>
              <w:t>(630) 870-1101 x2</w:t>
            </w:r>
            <w:r>
              <w:br/>
            </w:r>
            <w:r>
              <w:rPr>
                <w:color w:val="0A3D5C"/>
                <w:sz w:val="18"/>
              </w:rPr>
              <w:t>adamh@sqx.com</w:t>
            </w:r>
          </w:p>
          <w:p>
            <w:pPr>
              <w:jc w:val="right"/>
            </w:pPr>
            <w:r>
              <w:rPr>
                <w:color w:val="0A3D5C"/>
                <w:sz w:val="18"/>
              </w:rPr>
              <w:t>inquiries@sqx.com</w:t>
            </w:r>
          </w:p>
        </w:tc>
      </w:tr>
    </w:tbl>
    <w:p/>
    <w:p>
      <w:pPr>
        <w:pStyle w:val="Title"/>
        <w:jc w:val="center"/>
      </w:pPr>
      <w:r>
        <w:t>Structured Note Reference Data Dictionary</w:t>
      </w:r>
    </w:p>
    <w:p>
      <w:r>
        <w:t>This document describes the structured note reference data schema extracted from SEC 424B2 filings. Column names, datatypes, nullability, and key flags reflect the current production schema.</w:t>
      </w:r>
    </w:p>
    <w:p>
      <w:pPr>
        <w:pStyle w:val="Heading1"/>
      </w:pPr>
      <w:r>
        <w:t>Overview</w:t>
      </w:r>
    </w:p>
    <w:p>
      <w:r>
        <w:t>Each structured note is identified by its instrument_id and has reference data spread across several tables, each capturing a different aspect of the note's terms:</w:t>
      </w:r>
    </w:p>
    <w:p>
      <w:pPr>
        <w:pStyle w:val="ListBullet"/>
      </w:pPr>
      <w:r>
        <w:rPr>
          <w:b/>
          <w:sz w:val="20"/>
        </w:rPr>
        <w:t>r_reference</w:t>
      </w:r>
      <w:r>
        <w:rPr>
          <w:sz w:val="20"/>
        </w:rPr>
        <w:t xml:space="preserve"> - Core identity, provenance, currency, and summary fields.</w:t>
      </w:r>
    </w:p>
    <w:p>
      <w:pPr>
        <w:pStyle w:val="ListBullet"/>
      </w:pPr>
      <w:r>
        <w:rPr>
          <w:b/>
          <w:sz w:val="20"/>
        </w:rPr>
        <w:t>r_deal_parties</w:t>
      </w:r>
      <w:r>
        <w:rPr>
          <w:sz w:val="20"/>
        </w:rPr>
        <w:t xml:space="preserve"> - Issuer, underwriter, selling agent, calculation agent, and guarantor.</w:t>
      </w:r>
    </w:p>
    <w:p>
      <w:pPr>
        <w:pStyle w:val="ListBullet"/>
      </w:pPr>
      <w:r>
        <w:rPr>
          <w:b/>
          <w:sz w:val="20"/>
        </w:rPr>
        <w:t>r_product_classification</w:t>
      </w:r>
      <w:r>
        <w:rPr>
          <w:sz w:val="20"/>
        </w:rPr>
        <w:t xml:space="preserve"> - Legal wrapper, payoff archetype, tax treatment, and asset linkage.</w:t>
      </w:r>
    </w:p>
    <w:p>
      <w:pPr>
        <w:pStyle w:val="ListBullet"/>
      </w:pPr>
      <w:r>
        <w:rPr>
          <w:b/>
          <w:sz w:val="20"/>
        </w:rPr>
        <w:t>r_product_mechanics</w:t>
      </w:r>
      <w:r>
        <w:rPr>
          <w:sz w:val="20"/>
        </w:rPr>
        <w:t xml:space="preserve"> - Settlement, FX handling, return type, dividend treatment, and basket method.</w:t>
      </w:r>
    </w:p>
    <w:p>
      <w:pPr>
        <w:pStyle w:val="ListBullet"/>
      </w:pPr>
      <w:r>
        <w:rPr>
          <w:b/>
          <w:sz w:val="20"/>
        </w:rPr>
        <w:t>r_call_leg</w:t>
      </w:r>
      <w:r>
        <w:rPr>
          <w:sz w:val="20"/>
        </w:rPr>
        <w:t xml:space="preserve"> - Call window, exercise style, payment type, premium, and notice period.</w:t>
      </w:r>
    </w:p>
    <w:p>
      <w:pPr>
        <w:pStyle w:val="ListBullet"/>
      </w:pPr>
      <w:r>
        <w:rPr>
          <w:b/>
          <w:sz w:val="20"/>
        </w:rPr>
        <w:t>r_observation_leg</w:t>
      </w:r>
      <w:r>
        <w:rPr>
          <w:sz w:val="20"/>
        </w:rPr>
        <w:t xml:space="preserve"> - Observation frequency, type, scope, window, and averaging method.</w:t>
      </w:r>
    </w:p>
    <w:p>
      <w:pPr>
        <w:pStyle w:val="ListBullet"/>
      </w:pPr>
      <w:r>
        <w:rPr>
          <w:b/>
          <w:sz w:val="20"/>
        </w:rPr>
        <w:t>r_observation_schedule</w:t>
      </w:r>
      <w:r>
        <w:rPr>
          <w:sz w:val="20"/>
        </w:rPr>
        <w:t xml:space="preserve"> - Per-date observation, payment, coupon barrier, and autocall trigger values.</w:t>
      </w:r>
    </w:p>
    <w:p>
      <w:pPr>
        <w:pStyle w:val="ListBullet"/>
      </w:pPr>
      <w:r>
        <w:rPr>
          <w:b/>
          <w:sz w:val="20"/>
        </w:rPr>
        <w:t>r_coupon_leg</w:t>
      </w:r>
      <w:r>
        <w:rPr>
          <w:sz w:val="20"/>
        </w:rPr>
        <w:t xml:space="preserve"> - Coupon structure, conditionality, memory, frequency, and terms.</w:t>
      </w:r>
    </w:p>
    <w:p>
      <w:pPr>
        <w:pStyle w:val="ListBullet"/>
      </w:pPr>
      <w:r>
        <w:rPr>
          <w:b/>
          <w:sz w:val="20"/>
        </w:rPr>
        <w:t>r_coupon_barrier</w:t>
      </w:r>
      <w:r>
        <w:rPr>
          <w:sz w:val="20"/>
        </w:rPr>
        <w:t xml:space="preserve"> - Barrier type plus optional reference-rate bounds.</w:t>
      </w:r>
    </w:p>
    <w:p>
      <w:pPr>
        <w:pStyle w:val="ListBullet"/>
      </w:pPr>
      <w:r>
        <w:rPr>
          <w:b/>
          <w:sz w:val="20"/>
        </w:rPr>
        <w:t>r_coupon_payout</w:t>
      </w:r>
      <w:r>
        <w:rPr>
          <w:sz w:val="20"/>
        </w:rPr>
        <w:t xml:space="preserve"> - Coupon rate, reference rate, spread, floor, and cap.</w:t>
      </w:r>
    </w:p>
    <w:p>
      <w:pPr>
        <w:pStyle w:val="ListBullet"/>
      </w:pPr>
      <w:r>
        <w:rPr>
          <w:b/>
          <w:sz w:val="20"/>
        </w:rPr>
        <w:t>r_note_underlying_link</w:t>
      </w:r>
      <w:r>
        <w:rPr>
          <w:sz w:val="20"/>
        </w:rPr>
        <w:t xml:space="preserve"> - Underlier identity, weight, credit-reference flag, and initial fixing fields.</w:t>
      </w:r>
    </w:p>
    <w:p>
      <w:pPr>
        <w:pStyle w:val="ListBullet"/>
      </w:pPr>
      <w:r>
        <w:rPr>
          <w:b/>
          <w:sz w:val="20"/>
        </w:rPr>
        <w:t>r_piecewise_payoff</w:t>
      </w:r>
      <w:r>
        <w:rPr>
          <w:sz w:val="20"/>
        </w:rPr>
        <w:t xml:space="preserve"> - Payoff-curve breakpoints mapping underlier performance to investor payout.</w:t>
      </w:r>
    </w:p>
    <w:p>
      <w:pPr>
        <w:pStyle w:val="ListBullet"/>
      </w:pPr>
      <w:r>
        <w:rPr>
          <w:b/>
          <w:sz w:val="20"/>
        </w:rPr>
        <w:t>r_fee_economics</w:t>
      </w:r>
      <w:r>
        <w:rPr>
          <w:sz w:val="20"/>
        </w:rPr>
        <w:t xml:space="preserve"> - Public offering price, estimated value, fees, and deal-size fields.</w:t>
      </w:r>
    </w:p>
    <w:p>
      <w:pPr>
        <w:pStyle w:val="Heading1"/>
      </w:pPr>
      <w:r>
        <w:t>Data Pipeline</w:t>
      </w:r>
    </w:p>
    <w:p>
      <w:r>
        <w:t>Reference data is populated via an automated pipeline that:</w:t>
      </w:r>
    </w:p>
    <w:p>
      <w:r>
        <w:t>1. Retrieves un-analyzed 424B2 prospectus filings from the SEC EDGAR database.</w:t>
      </w:r>
    </w:p>
    <w:p>
      <w:r>
        <w:t>2. Converts HTML filings to plain text and strips boilerplate sections.</w:t>
      </w:r>
    </w:p>
    <w:p>
      <w:r>
        <w:t>3. Extracts structured fields from the prospectus for each reference table.</w:t>
      </w:r>
    </w:p>
    <w:p>
      <w:r>
        <w:t>4. Loads extracted data into staging tables.</w:t>
      </w:r>
    </w:p>
    <w:p>
      <w:r>
        <w:t>5. Runs post-load normalization to canonicalize enum values, fix variants, and enforce domain constraints.</w:t>
      </w:r>
    </w:p>
    <w:p>
      <w:pPr>
        <w:pStyle w:val="Heading1"/>
      </w:pPr>
      <w:r>
        <w:t>Relationships</w:t>
      </w:r>
    </w:p>
    <w:p>
      <w:r>
        <w:t>The r_reference table anchors the structured-note schema. Other r_* tables relate back to it through instrument_id, and r_reference itself links to security_master in the central security_master database.</w:t>
      </w:r>
    </w:p>
    <w:p>
      <w:r>
        <w:t>The following tables are one-to-many relative to instrument_id:</w:t>
      </w:r>
    </w:p>
    <w:p>
      <w:pPr>
        <w:pStyle w:val="ListBullet"/>
      </w:pPr>
      <w:r>
        <w:rPr>
          <w:b/>
        </w:rPr>
        <w:t>r_note_underlying_link</w:t>
      </w:r>
      <w:r>
        <w:t xml:space="preserve"> - Underlier identity, weight, credit-reference flag, and initial fixing fields.</w:t>
      </w:r>
    </w:p>
    <w:p>
      <w:pPr>
        <w:pStyle w:val="ListBullet"/>
      </w:pPr>
      <w:r>
        <w:rPr>
          <w:b/>
        </w:rPr>
        <w:t>r_observation_schedule</w:t>
      </w:r>
      <w:r>
        <w:t xml:space="preserve"> - Per-date observation, payment, coupon barrier, and autocall trigger values.</w:t>
      </w:r>
    </w:p>
    <w:p>
      <w:pPr>
        <w:pStyle w:val="ListBullet"/>
      </w:pPr>
      <w:r>
        <w:rPr>
          <w:b/>
        </w:rPr>
        <w:t>r_piecewise_payoff</w:t>
      </w:r>
      <w:r>
        <w:t xml:space="preserve"> - Payoff-curve breakpoints mapping underlier performance to investor payout.</w:t>
      </w:r>
    </w:p>
    <w:p>
      <w:pPr>
        <w:pStyle w:val="Heading1"/>
      </w:pPr>
      <w:r>
        <w:t>Table Definitions</w:t>
      </w:r>
    </w:p>
    <w:p>
      <w:pPr>
        <w:pStyle w:val="Heading2"/>
      </w:pPr>
      <w:r>
        <w:t>r_reference</w:t>
      </w:r>
    </w:p>
    <w:p>
      <w:r>
        <w:t>Core identity and provenance for each structured note. One row per instrument_id. This is the parent table; all other r_* tables reference it via foreign key.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592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Column</w:t>
            </w:r>
          </w:p>
        </w:tc>
        <w:tc>
          <w:tcPr>
            <w:tcW w:type="dxa" w:w="2016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Datatype</w:t>
            </w:r>
          </w:p>
        </w:tc>
        <w:tc>
          <w:tcPr>
            <w:tcW w:type="dxa" w:w="2304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Nullable</w:t>
            </w:r>
          </w:p>
        </w:tc>
        <w:tc>
          <w:tcPr>
            <w:tcW w:type="dxa" w:w="4608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insert_date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DATETIME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creation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changed_date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TIMESTAMP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update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instrument_id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BIGINT UNSIGNED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Internal cross-product instrument identifier.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ISIN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VARCHAR(12)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 (PK)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ISO 6166 identifier. Foreign key to security_master.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filing_id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BIGINT UNSIGNED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Link to sec.filings for the source 424B2 prospectus.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issue_date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Original issue or trade date of the note.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trade_date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Pricing date when terms were set.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settlement_currency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CHAR(3)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ISO 4217 settlement currency code.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summary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VARCHAR(512)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Plain-English summary of the note's key terms.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seniority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Capital ranking such as SENIOR, SUBORDINATED, or JUNIOR_SUBORDINATED.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collateralization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Secured status such as SECURED or UNSECURED.</w:t>
            </w:r>
          </w:p>
        </w:tc>
      </w:tr>
    </w:tbl>
    <w:p/>
    <w:p>
      <w:pPr>
        <w:pStyle w:val="Heading2"/>
      </w:pPr>
      <w:r>
        <w:t>r_deal_parties</w:t>
      </w:r>
    </w:p>
    <w:p>
      <w:r>
        <w:t>Counterparties involved in the note issuance. One row per instrument_id.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592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Column</w:t>
            </w:r>
          </w:p>
        </w:tc>
        <w:tc>
          <w:tcPr>
            <w:tcW w:type="dxa" w:w="2016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Datatype</w:t>
            </w:r>
          </w:p>
        </w:tc>
        <w:tc>
          <w:tcPr>
            <w:tcW w:type="dxa" w:w="2304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Nullable</w:t>
            </w:r>
          </w:p>
        </w:tc>
        <w:tc>
          <w:tcPr>
            <w:tcW w:type="dxa" w:w="4608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insert_date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DATETIME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creation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changed_date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TIMESTAMP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update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instrument_id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BIGINT UNSIGNED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Internal cross-product instrument identifier.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isin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VARCHAR(12)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 (PK)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Links to r_reference via instrument_id.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issuer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VARCHAR(127)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Legal name of the issuing entity.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underwriter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VARCHAR(127)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Lead underwriter or bookrunner.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selling_agent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VARCHAR(127)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Dealer, distributor, or reseller.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calculation_agent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VARCHAR(127)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Entity responsible for valuations and determinations.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guarantor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Parent or third-party guarantor, if any.</w:t>
            </w:r>
          </w:p>
        </w:tc>
      </w:tr>
    </w:tbl>
    <w:p/>
    <w:p>
      <w:pPr>
        <w:pStyle w:val="Heading2"/>
      </w:pPr>
      <w:r>
        <w:t>r_product_classification</w:t>
      </w:r>
    </w:p>
    <w:p>
      <w:r>
        <w:t>Legal, tax, and structural classification of the note.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592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Column</w:t>
            </w:r>
          </w:p>
        </w:tc>
        <w:tc>
          <w:tcPr>
            <w:tcW w:type="dxa" w:w="2016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Datatype</w:t>
            </w:r>
          </w:p>
        </w:tc>
        <w:tc>
          <w:tcPr>
            <w:tcW w:type="dxa" w:w="2304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Nullable</w:t>
            </w:r>
          </w:p>
        </w:tc>
        <w:tc>
          <w:tcPr>
            <w:tcW w:type="dxa" w:w="4608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insert_date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DATETIME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creation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changed_date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TIMESTAMP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update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instrument_id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BIGINT UNSIGNED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Internal cross-product instrument identifier.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ISIN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VARCHAR(12)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 (PK)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Links to r_reference via instrument_id.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legal_wrapper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Legal form of the instrument.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payoff_profile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Structural archetype such as reverse convertible or autocallable.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tax_classification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US federal income tax treatment.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has_phantom_income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TRUE if the holder may owe tax on income not yet received.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income_accrual_method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When income is recognized for tax purposes.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payoff_link_type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Top-level asset linkage such as EQUITY, RATE, CREDIT, FX, or MULTI_ASSET.</w:t>
            </w:r>
          </w:p>
        </w:tc>
      </w:tr>
    </w:tbl>
    <w:p/>
    <w:p>
      <w:pPr>
        <w:pStyle w:val="Heading2"/>
      </w:pPr>
      <w:r>
        <w:t>r_product_mechanics</w:t>
      </w:r>
    </w:p>
    <w:p>
      <w:r>
        <w:t>Core behavioral parameters that govern how the note's return is calculated.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592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Column</w:t>
            </w:r>
          </w:p>
        </w:tc>
        <w:tc>
          <w:tcPr>
            <w:tcW w:type="dxa" w:w="2016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Datatype</w:t>
            </w:r>
          </w:p>
        </w:tc>
        <w:tc>
          <w:tcPr>
            <w:tcW w:type="dxa" w:w="2304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Nullable</w:t>
            </w:r>
          </w:p>
        </w:tc>
        <w:tc>
          <w:tcPr>
            <w:tcW w:type="dxa" w:w="4608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insert_date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DATETIME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creation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changed_date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TIMESTAMP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update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instrument_id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BIGINT UNSIGNED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Internal cross-product instrument identifier.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ISIN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VARCHAR(12)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 (PK)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Links to r_reference via instrument_id.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priced_as_percent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Percent flag when prices are quoted as a percentage of par.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settlement_method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How the note pays out at maturity.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fx_mechanic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How currency exposure is handled.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underlying_return_type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Return measure that drives the payoff.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dividend_treatment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How dividends on the underlying are handled.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basket_calculation_method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How multiple underliers are combined.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payoff_mechanics_summary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VARCHAR(512)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Summary of key payoff mechanics.</w:t>
            </w:r>
          </w:p>
        </w:tc>
      </w:tr>
    </w:tbl>
    <w:p/>
    <w:p>
      <w:pPr>
        <w:pStyle w:val="Heading2"/>
      </w:pPr>
      <w:r>
        <w:t>r_call_leg</w:t>
      </w:r>
    </w:p>
    <w:p>
      <w:r>
        <w:t>Call and early-redemption metadata. One row per instrument_id. Used for issuer-call structures and for autocall-style exercise metadata.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592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Column</w:t>
            </w:r>
          </w:p>
        </w:tc>
        <w:tc>
          <w:tcPr>
            <w:tcW w:type="dxa" w:w="2016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Datatype</w:t>
            </w:r>
          </w:p>
        </w:tc>
        <w:tc>
          <w:tcPr>
            <w:tcW w:type="dxa" w:w="2304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Nullable</w:t>
            </w:r>
          </w:p>
        </w:tc>
        <w:tc>
          <w:tcPr>
            <w:tcW w:type="dxa" w:w="4608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insert_date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DATETIME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creation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changed_date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TIMESTAMP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update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instrument_id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BIGINT UNSIGNED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Internal cross-product instrument identifier.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isin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VARCHAR(12)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 (PK)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Links to r_reference via instrument_id.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first_call_date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First date the call may be exercised or triggered.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last_call_date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Last eligible call date.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call_exercise_style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Exercise style such as AUTOCALL, AMERICAN, BERMUDA, or EUROPEAN.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call_payment_type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What the investor receives upon call.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notice_days_min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INT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Minimum notice period in calendar days.</w:t>
            </w:r>
          </w:p>
        </w:tc>
      </w:tr>
    </w:tbl>
    <w:p/>
    <w:p>
      <w:pPr>
        <w:pStyle w:val="Heading2"/>
      </w:pPr>
      <w:r>
        <w:t>r_observation_leg</w:t>
      </w:r>
    </w:p>
    <w:p>
      <w:r>
        <w:t>Observation mechanics shared across coupon, autocall, and barrier schedules. One row per instrument_id.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592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Column</w:t>
            </w:r>
          </w:p>
        </w:tc>
        <w:tc>
          <w:tcPr>
            <w:tcW w:type="dxa" w:w="2016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Datatype</w:t>
            </w:r>
          </w:p>
        </w:tc>
        <w:tc>
          <w:tcPr>
            <w:tcW w:type="dxa" w:w="2304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Nullable</w:t>
            </w:r>
          </w:p>
        </w:tc>
        <w:tc>
          <w:tcPr>
            <w:tcW w:type="dxa" w:w="4608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insert_date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DATETIME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creation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changed_date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TIMESTAMP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update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instrument_id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BIGINT UNSIGNED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Internal cross-product instrument identifier.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isin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VARCHAR(12)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 (PK)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Links to r_reference via instrument_id.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observation_frequency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How often conditions are checked.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observation_type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Price observation method.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observation_scope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Which underlier or underliers must satisfy conditions.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observation_start_date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Earliest date on which an underlier level is observed for a coupon, call, or maturity payment. Not the issue/settlement date, and not a floating-rate determination (reset) date.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observation_end_date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Last date on which an underlier level is observed for the maturity payment — typically the Final Valuation Date shortly before maturity. Not the Maturity Date itself, and not necessarily the last call observation, which can precede final valuation by months or years.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observation_averaging_method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How observation values are aggregated.</w:t>
            </w:r>
          </w:p>
        </w:tc>
      </w:tr>
    </w:tbl>
    <w:p/>
    <w:p>
      <w:pPr>
        <w:pStyle w:val="Heading2"/>
      </w:pPr>
      <w:r>
        <w:t>r_observation_schedule</w:t>
      </w:r>
    </w:p>
    <w:p>
      <w:r>
        <w:t>Event-level observation schedule. Multiple rows per instrument_id capture each observation date, optional payment date, and per-date coupon or autocall thresholds.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592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Column</w:t>
            </w:r>
          </w:p>
        </w:tc>
        <w:tc>
          <w:tcPr>
            <w:tcW w:type="dxa" w:w="2016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Datatype</w:t>
            </w:r>
          </w:p>
        </w:tc>
        <w:tc>
          <w:tcPr>
            <w:tcW w:type="dxa" w:w="2304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Nullable</w:t>
            </w:r>
          </w:p>
        </w:tc>
        <w:tc>
          <w:tcPr>
            <w:tcW w:type="dxa" w:w="4608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insert_date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DATETIME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creation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changed_date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TIMESTAMP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update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instrument_id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BIGINT UNSIGNED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Internal cross-product instrument identifier.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isin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VARCHAR(12)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 (PK)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Links to r_reference via instrument_id.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observation_date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 (PK)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Date the underlier is observed to test a coupon, call, or maturity condition. Use the schedule as published in the filing verbatim, including any weekend/holiday adjustment; do not regenerate nominal dates or add rows the filing does not list.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payment_date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Settlement or payment date associated with the observation date.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coupon_related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VARCHAR(8)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TRUE if this observation determines coupon eligibility.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call_related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VARCHAR(8)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TRUE if this observation can trigger a call or autocall event.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coupon_barrier_pct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DECIMAL(7,4)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Coupon barrier level as a percentage of the initial fixing.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autocall_trigger_pct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DECIMAL(7,4)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Autocall trigger level as a percentage of the initial fixing.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payment_premium_pct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DECIMAL(9,6)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Call or maturity premium paid on the related payment_date, as a percentage of par. NULL when no premium applies. May vary across dates for stepped/escalating premium structures.</w:t>
            </w:r>
          </w:p>
        </w:tc>
      </w:tr>
    </w:tbl>
    <w:p/>
    <w:p>
      <w:pPr>
        <w:pStyle w:val="Heading2"/>
      </w:pPr>
      <w:r>
        <w:t>r_coupon_leg</w:t>
      </w:r>
    </w:p>
    <w:p>
      <w:r>
        <w:t>Periodic income terms. One row per instrument_id. If coupon_rate_type = NONE, the note pays no periodic coupon. Barrier and payout details live in r_coupon_barrier and r_coupon_payout.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592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Column</w:t>
            </w:r>
          </w:p>
        </w:tc>
        <w:tc>
          <w:tcPr>
            <w:tcW w:type="dxa" w:w="2016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Datatype</w:t>
            </w:r>
          </w:p>
        </w:tc>
        <w:tc>
          <w:tcPr>
            <w:tcW w:type="dxa" w:w="2304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Nullable</w:t>
            </w:r>
          </w:p>
        </w:tc>
        <w:tc>
          <w:tcPr>
            <w:tcW w:type="dxa" w:w="4608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insert_date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DATETIME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creation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changed_date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TIMESTAMP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update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instrument_id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BIGINT UNSIGNED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Internal cross-product instrument identifier.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isin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VARCHAR(12)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 (PK)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Links to r_reference via instrument_id.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coupon_rate_type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Rate structure such as FIXED, FLOATING, FIXED_THEN_FLOATING, or NONE.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coupon_conditionality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Whether coupon payment is unconditional or contingent.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has_memory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TRUE if missed contingent coupons can be paid later.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frequency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Coupon payment frequency.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day_count_convention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Day count basis for accrual.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observation_scope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Which underlier set must satisfy the coupon barrier.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coupon_terms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VARCHAR(511)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Free-text details for complex coupon structures.</w:t>
            </w:r>
          </w:p>
        </w:tc>
      </w:tr>
    </w:tbl>
    <w:p/>
    <w:p>
      <w:pPr>
        <w:pStyle w:val="Heading2"/>
      </w:pPr>
      <w:r>
        <w:t>r_coupon_barrier</w:t>
      </w:r>
    </w:p>
    <w:p>
      <w:r>
        <w:t>Coupon barrier conditions. One row per instrument_id. Populated for contingent coupon structures.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592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Column</w:t>
            </w:r>
          </w:p>
        </w:tc>
        <w:tc>
          <w:tcPr>
            <w:tcW w:type="dxa" w:w="2016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Datatype</w:t>
            </w:r>
          </w:p>
        </w:tc>
        <w:tc>
          <w:tcPr>
            <w:tcW w:type="dxa" w:w="2304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Nullable</w:t>
            </w:r>
          </w:p>
        </w:tc>
        <w:tc>
          <w:tcPr>
            <w:tcW w:type="dxa" w:w="4608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insert_date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DATETIME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creation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changed_date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TIMESTAMP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update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instrument_id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BIGINT UNSIGNED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Internal cross-product instrument identifier.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isin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VARCHAR(12)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 (PK)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Links to r_reference via instrument_id.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barrier_type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VARCHAR(64)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Type of coupon barrier condition.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barrier_reference_rate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VARCHAR(50)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Reference rate for rate-linked barriers.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barrier_rate_low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DECIMAL(9,6)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Lower bound for rate-range barriers.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barrier_rate_high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DECIMAL(9,6)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Upper bound or threshold for rate barriers.</w:t>
            </w:r>
          </w:p>
        </w:tc>
      </w:tr>
    </w:tbl>
    <w:p/>
    <w:p>
      <w:pPr>
        <w:pStyle w:val="Heading2"/>
      </w:pPr>
      <w:r>
        <w:t>r_coupon_payout</w:t>
      </w:r>
    </w:p>
    <w:p>
      <w:r>
        <w:t>Coupon payout parameters. One row per instrument_id. Populated for notes with coupon logic.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592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Column</w:t>
            </w:r>
          </w:p>
        </w:tc>
        <w:tc>
          <w:tcPr>
            <w:tcW w:type="dxa" w:w="2016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Datatype</w:t>
            </w:r>
          </w:p>
        </w:tc>
        <w:tc>
          <w:tcPr>
            <w:tcW w:type="dxa" w:w="2304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Nullable</w:t>
            </w:r>
          </w:p>
        </w:tc>
        <w:tc>
          <w:tcPr>
            <w:tcW w:type="dxa" w:w="4608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insert_date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DATETIME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creation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changed_date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TIMESTAMP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update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instrument_id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BIGINT UNSIGNED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Internal cross-product instrument identifier.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isin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VARCHAR(12)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 (PK)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Links to r_reference via instrument_id.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coupon_rate_pct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DECIMAL(9,6)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Coupon rate per period or base rate for range accrual structures.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coupon_reference_rate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VARCHAR(50)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Reference rate for floating coupons.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coupon_spread_pct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DECIMAL(9,6)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Spread over the reference rate.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coupon_floor_pct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DECIMAL(9,6)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Minimum coupon rate.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coupon_cap_pct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DECIMAL(9,6)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Maximum coupon rate.</w:t>
            </w:r>
          </w:p>
        </w:tc>
      </w:tr>
    </w:tbl>
    <w:p/>
    <w:p>
      <w:pPr>
        <w:pStyle w:val="Heading2"/>
      </w:pPr>
      <w:r>
        <w:t>r_note_underlying_link</w:t>
      </w:r>
    </w:p>
    <w:p>
      <w:r>
        <w:t>Links each note to its underlying reference asset or assets. One row per instrument_id plus underlier.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592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Column</w:t>
            </w:r>
          </w:p>
        </w:tc>
        <w:tc>
          <w:tcPr>
            <w:tcW w:type="dxa" w:w="2016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Datatype</w:t>
            </w:r>
          </w:p>
        </w:tc>
        <w:tc>
          <w:tcPr>
            <w:tcW w:type="dxa" w:w="2304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Nullable</w:t>
            </w:r>
          </w:p>
        </w:tc>
        <w:tc>
          <w:tcPr>
            <w:tcW w:type="dxa" w:w="4608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insert_date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DATETIME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creation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changed_date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TIMESTAMP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update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instrument_id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BIGINT UNSIGNED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Internal cross-product instrument identifier.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isin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VARCHAR(12)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 (PK)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Links to r_reference via instrument_id.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underlier_long_name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VARCHAR(127)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 (PK)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Full name of the underlying asset.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weight_pct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DECIMAL(16,6)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Basket weight as a percentage when weighting applies.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is_credit_reference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TINYINT(1)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1 if the underlier is the credit reference entity.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initial_fixing_level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DECIMAL(16,6)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Per-underlier baseline level used for the payoff performance calculation. When the filing publishes an initial-level table (typical for worst-of, best-of, or weighted baskets), populate this for every underlier in that table; do not leave sibling underliers null after filling one.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initial_fixing_date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Date the initial fixing level was observed.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initial_fixing_note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VARCHAR(255)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Clarifying text about how the initial level was determined.</w:t>
            </w:r>
          </w:p>
        </w:tc>
      </w:tr>
    </w:tbl>
    <w:p/>
    <w:p>
      <w:pPr>
        <w:pStyle w:val="Heading2"/>
      </w:pPr>
      <w:r>
        <w:t>r_piecewise_payoff</w:t>
      </w:r>
    </w:p>
    <w:p>
      <w:r>
        <w:t>Piecewise-linear maturity payoff profile. Multiple rows per instrument_id define payoff breakpoints.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592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Column</w:t>
            </w:r>
          </w:p>
        </w:tc>
        <w:tc>
          <w:tcPr>
            <w:tcW w:type="dxa" w:w="2016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Datatype</w:t>
            </w:r>
          </w:p>
        </w:tc>
        <w:tc>
          <w:tcPr>
            <w:tcW w:type="dxa" w:w="2304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Nullable</w:t>
            </w:r>
          </w:p>
        </w:tc>
        <w:tc>
          <w:tcPr>
            <w:tcW w:type="dxa" w:w="4608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insert_date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DATETIME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creation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changed_date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TIMESTAMP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update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instrument_id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BIGINT UNSIGNED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Internal cross-product instrument identifier.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isin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VARCHAR(12)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Links to r_reference via instrument_id.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piece_id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BIGINT UNSIGNED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 (PK)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Auto-increment surrogate key.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underlier_pct_of_initial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DECIMAL(6,3)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Final underlier level as a percentage of the initial fixing.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payoff_pct_of_notional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DECIMAL(6,3)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Investor payout as a percentage of notional.</w:t>
            </w:r>
          </w:p>
        </w:tc>
      </w:tr>
    </w:tbl>
    <w:p/>
    <w:p>
      <w:pPr>
        <w:pStyle w:val="Heading2"/>
      </w:pPr>
      <w:r>
        <w:t>r_fee_economics</w:t>
      </w:r>
    </w:p>
    <w:p>
      <w:r>
        <w:t>Offering economics and fee structure from the prospectus. One row per instrument_id.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592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Column</w:t>
            </w:r>
          </w:p>
        </w:tc>
        <w:tc>
          <w:tcPr>
            <w:tcW w:type="dxa" w:w="2016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Datatype</w:t>
            </w:r>
          </w:p>
        </w:tc>
        <w:tc>
          <w:tcPr>
            <w:tcW w:type="dxa" w:w="2304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Nullable</w:t>
            </w:r>
          </w:p>
        </w:tc>
        <w:tc>
          <w:tcPr>
            <w:tcW w:type="dxa" w:w="4608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insert_date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DATETIME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creation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changed_date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TIMESTAMP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update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instrument_id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BIGINT UNSIGNED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Internal cross-product instrument identifier.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isin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VARCHAR(12)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 (PK)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Links to r_reference via instrument_id.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public_offering_price_pct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DECIMAL(9,6)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Price to the public as a percentage of par.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min_public_offering_price_pct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DECIMAL(9,6)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Reduced offering price for fee-based advisory accounts.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estimated_value_pct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DECIMAL(9,6)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Indicative estimated value as of the pricing date.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estimated_value_floor_pct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DECIMAL(9,6)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Minimum estimated value promised in preliminary documents.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estimated_value_ceiling_pct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DECIMAL(9,6)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Maximum estimated value promised in preliminary docs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gross_spread_pct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DECIMAL(9,6)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Total underwriting discount or commission as a percentage of par.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fee_terms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VARCHAR(255)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Free-text breakdown of commissions and fee components (e.g. distribution expense, marketing/service fees, selling concession, structuring fees). Format: semicolon-joined 'label: value%' pairs.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net_proceeds_to_issuer_pct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DECIMAL(9,6)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Amount the issuing bank receives after discounts.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principal_amount_per_unit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DECIMAL(10,2)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Face value per unit or note.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units_issued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INT UNSIGNED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Total number of units or notes issued.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total_offering_amount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INT UNSIGNED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Aggregate principal amount of the offering.</w:t>
            </w:r>
          </w:p>
        </w:tc>
      </w:tr>
    </w:tbl>
    <w:p/>
    <w:p>
      <w:pPr>
        <w:pStyle w:val="Heading1"/>
      </w:pPr>
      <w:r>
        <w:t>Supplementary Tables</w:t>
      </w:r>
    </w:p>
    <w:p>
      <w:pPr>
        <w:pStyle w:val="Heading2"/>
      </w:pPr>
      <w:r>
        <w:t>security_master</w:t>
      </w:r>
    </w:p>
    <w:p>
      <w:r>
        <w:t>Central cross-product security identifier table in the security_master database. All structured-note reference tables ultimately link here through instrument_id.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592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Column</w:t>
            </w:r>
          </w:p>
        </w:tc>
        <w:tc>
          <w:tcPr>
            <w:tcW w:type="dxa" w:w="2016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Datatype</w:t>
            </w:r>
          </w:p>
        </w:tc>
        <w:tc>
          <w:tcPr>
            <w:tcW w:type="dxa" w:w="2304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Nullable</w:t>
            </w:r>
          </w:p>
        </w:tc>
        <w:tc>
          <w:tcPr>
            <w:tcW w:type="dxa" w:w="4608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insert_date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DATETIME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creation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changed_date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TIMESTAMP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Row update timestamp.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isin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VARCHAR(12)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 (UNIQUE)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ISO 6166 International Securities Identification Number.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cusip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VARCHAR(9)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 (UNIQUE)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CUSIP identifier.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ticker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VARCHAR(12)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Ticker symbol when available.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currency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CHAR(3)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ISO 4217 settlement or denomination currency.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last_pricing_date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Most recent pricing date loaded into the platform.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maturity_date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DATE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Final maturity or expiration date.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status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VARCHAR(32)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Security lifecycle or platform status flag.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type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VARCHAR(32)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Product type such as structured_note.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issuer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VARCHAR(128)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Canonical issuer abbreviation.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description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VARCHAR(256)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NULL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Short security description.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instrument_id</w:t>
            </w:r>
          </w:p>
        </w:tc>
        <w:tc>
          <w:tcPr>
            <w:tcW w:type="dxa" w:w="2016"/>
          </w:tcPr>
          <w:p>
            <w:r>
              <w:rPr>
                <w:sz w:val="16"/>
              </w:rPr>
              <w:t>BIGINT UNSIGNED</w:t>
            </w:r>
          </w:p>
        </w:tc>
        <w:tc>
          <w:tcPr>
            <w:tcW w:type="dxa" w:w="2304"/>
          </w:tcPr>
          <w:p>
            <w:r>
              <w:rPr>
                <w:sz w:val="16"/>
              </w:rPr>
              <w:t>NOT NULL (PK)</w:t>
            </w:r>
          </w:p>
        </w:tc>
        <w:tc>
          <w:tcPr>
            <w:tcW w:type="dxa" w:w="4608"/>
          </w:tcPr>
          <w:p>
            <w:r>
              <w:rPr>
                <w:sz w:val="16"/>
              </w:rPr>
              <w:t>Internal cross-product instrument identifier.</w:t>
            </w:r>
          </w:p>
        </w:tc>
      </w:tr>
    </w:tbl>
    <w:p/>
    <w:p>
      <w:pPr>
        <w:pStyle w:val="Heading1"/>
      </w:pPr>
      <w:r>
        <w:t>Appendix: Canonical Enum Values</w:t>
      </w:r>
    </w:p>
    <w:p>
      <w:r>
        <w:t>Many columns use constrained vocabulary. The following summarizes the canonical values.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80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Column</w:t>
            </w:r>
          </w:p>
        </w:tc>
        <w:tc>
          <w:tcPr>
            <w:tcW w:type="dxa" w:w="7920"/>
            <w:shd w:val="clear" w:color="auto" w:fill="2F5496"/>
          </w:tcPr>
          <w:p>
            <w:r>
              <w:rPr>
                <w:b/>
                <w:color w:val="FFFFFF"/>
                <w:sz w:val="18"/>
              </w:rPr>
              <w:t>Allowed Values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legal_wrapper</w:t>
            </w:r>
          </w:p>
        </w:tc>
        <w:tc>
          <w:tcPr>
            <w:tcW w:type="dxa" w:w="7920"/>
          </w:tcPr>
          <w:p>
            <w:r>
              <w:rPr>
                <w:sz w:val="16"/>
              </w:rPr>
              <w:t>NOTE, CERTIFICATE, SWAP, WARRANT, DEPOSIT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payoff_profile</w:t>
            </w:r>
          </w:p>
        </w:tc>
        <w:tc>
          <w:tcPr>
            <w:tcW w:type="dxa" w:w="7920"/>
          </w:tcPr>
          <w:p>
            <w:r>
              <w:rPr>
                <w:sz w:val="16"/>
              </w:rPr>
              <w:t>Free text. Common values include REVERSE_CONVERTIBLE, AUTOCALLABLE, PARTICIPATION, PRINCIPAL_PROTECTED, INVERSE_LEVERAGED, DUAL_DIRECTIONAL, DIGITAL, RANGE_ACCRUAL.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payoff_link_type</w:t>
            </w:r>
          </w:p>
        </w:tc>
        <w:tc>
          <w:tcPr>
            <w:tcW w:type="dxa" w:w="7920"/>
          </w:tcPr>
          <w:p>
            <w:r>
              <w:rPr>
                <w:sz w:val="16"/>
              </w:rPr>
              <w:t>EQUITY, RATE, CREDIT, COMMODITY, FX, MULTI_ASSET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tax_classification</w:t>
            </w:r>
          </w:p>
        </w:tc>
        <w:tc>
          <w:tcPr>
            <w:tcW w:type="dxa" w:w="7920"/>
          </w:tcPr>
          <w:p>
            <w:r>
              <w:rPr>
                <w:sz w:val="16"/>
              </w:rPr>
              <w:t>OID, CPDI, PREPAID_FORWARD, DEBT_INSTRUMENT, OTHER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has_phantom_income</w:t>
            </w:r>
          </w:p>
        </w:tc>
        <w:tc>
          <w:tcPr>
            <w:tcW w:type="dxa" w:w="7920"/>
          </w:tcPr>
          <w:p>
            <w:r>
              <w:rPr>
                <w:sz w:val="16"/>
              </w:rPr>
              <w:t>TRUE, NULL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income_accrual_method</w:t>
            </w:r>
          </w:p>
        </w:tc>
        <w:tc>
          <w:tcPr>
            <w:tcW w:type="dxa" w:w="7920"/>
          </w:tcPr>
          <w:p>
            <w:r>
              <w:rPr>
                <w:sz w:val="16"/>
              </w:rPr>
              <w:t>ANNUAL, MATURITY, PAYMENT_DATE, CONSTANT_YIELD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settlement_method</w:t>
            </w:r>
          </w:p>
        </w:tc>
        <w:tc>
          <w:tcPr>
            <w:tcW w:type="dxa" w:w="7920"/>
          </w:tcPr>
          <w:p>
            <w:r>
              <w:rPr>
                <w:sz w:val="16"/>
              </w:rPr>
              <w:t>CASH, PHYSICAL, PHYSICAL_OR_CASH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fx_mechanic</w:t>
            </w:r>
          </w:p>
        </w:tc>
        <w:tc>
          <w:tcPr>
            <w:tcW w:type="dxa" w:w="7920"/>
          </w:tcPr>
          <w:p>
            <w:r>
              <w:rPr>
                <w:sz w:val="16"/>
              </w:rPr>
              <w:t>STANDARD, QUANTO, COMPOSITE, CROSS_CURRENCY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underlying_return_type</w:t>
            </w:r>
          </w:p>
        </w:tc>
        <w:tc>
          <w:tcPr>
            <w:tcW w:type="dxa" w:w="7920"/>
          </w:tcPr>
          <w:p>
            <w:r>
              <w:rPr>
                <w:sz w:val="16"/>
              </w:rPr>
              <w:t>PRICE_RETURN, TOTAL_RETURN, EXCESS_RETURN, INVERSE_TOTAL_RETURN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dividend_treatment</w:t>
            </w:r>
          </w:p>
        </w:tc>
        <w:tc>
          <w:tcPr>
            <w:tcW w:type="dxa" w:w="7920"/>
          </w:tcPr>
          <w:p>
            <w:r>
              <w:rPr>
                <w:sz w:val="16"/>
              </w:rPr>
              <w:t>FORGONE, REINVESTED, PASSED_THROUGH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basket_calculation_method</w:t>
            </w:r>
          </w:p>
        </w:tc>
        <w:tc>
          <w:tcPr>
            <w:tcW w:type="dxa" w:w="7920"/>
          </w:tcPr>
          <w:p>
            <w:r>
              <w:rPr>
                <w:sz w:val="16"/>
              </w:rPr>
              <w:t>WEIGHTED_AVERAGE, WORST_OF, BEST_OF, RAINBOW, EQUAL_WEIGHT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call_exercise_style</w:t>
            </w:r>
          </w:p>
        </w:tc>
        <w:tc>
          <w:tcPr>
            <w:tcW w:type="dxa" w:w="7920"/>
          </w:tcPr>
          <w:p>
            <w:r>
              <w:rPr>
                <w:sz w:val="16"/>
              </w:rPr>
              <w:t>AUTOCALL, AMERICAN, BERMUDA, EUROPEAN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call_payment_type</w:t>
            </w:r>
          </w:p>
        </w:tc>
        <w:tc>
          <w:tcPr>
            <w:tcW w:type="dxa" w:w="7920"/>
          </w:tcPr>
          <w:p>
            <w:r>
              <w:rPr>
                <w:sz w:val="16"/>
              </w:rPr>
              <w:t>PRINCIPAL_PLUS_COUPON, PRINCIPAL_ONLY, PRINCIPAL_PLUS_PREMIUM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observation_frequency</w:t>
            </w:r>
          </w:p>
        </w:tc>
        <w:tc>
          <w:tcPr>
            <w:tcW w:type="dxa" w:w="7920"/>
          </w:tcPr>
          <w:p>
            <w:r>
              <w:rPr>
                <w:sz w:val="16"/>
              </w:rPr>
              <w:t>DAILY, MONTHLY, QUARTERLY, SEMI_ANNUAL, ANNUAL, ONE_TIME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observation_type</w:t>
            </w:r>
          </w:p>
        </w:tc>
        <w:tc>
          <w:tcPr>
            <w:tcW w:type="dxa" w:w="7920"/>
          </w:tcPr>
          <w:p>
            <w:r>
              <w:rPr>
                <w:sz w:val="16"/>
              </w:rPr>
              <w:t>CLOSING, INTRADAY, AVERAGE, OPENING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observation_scope</w:t>
            </w:r>
          </w:p>
        </w:tc>
        <w:tc>
          <w:tcPr>
            <w:tcW w:type="dxa" w:w="7920"/>
          </w:tcPr>
          <w:p>
            <w:r>
              <w:rPr>
                <w:sz w:val="16"/>
              </w:rPr>
              <w:t>WORST_OF, BEST_OF, BASKET_AVG, SINGLE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coupon_rate_type</w:t>
            </w:r>
          </w:p>
        </w:tc>
        <w:tc>
          <w:tcPr>
            <w:tcW w:type="dxa" w:w="7920"/>
          </w:tcPr>
          <w:p>
            <w:r>
              <w:rPr>
                <w:sz w:val="16"/>
              </w:rPr>
              <w:t>FIXED, FLOATING, FIXED_THEN_FLOATING, NONE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coupon_conditionality</w:t>
            </w:r>
          </w:p>
        </w:tc>
        <w:tc>
          <w:tcPr>
            <w:tcW w:type="dxa" w:w="7920"/>
          </w:tcPr>
          <w:p>
            <w:r>
              <w:rPr>
                <w:sz w:val="16"/>
              </w:rPr>
              <w:t>UNCONDITIONAL, CONTINGENT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barrier_type</w:t>
            </w:r>
          </w:p>
        </w:tc>
        <w:tc>
          <w:tcPr>
            <w:tcW w:type="dxa" w:w="7920"/>
          </w:tcPr>
          <w:p>
            <w:r>
              <w:rPr>
                <w:sz w:val="16"/>
              </w:rPr>
              <w:t>PCT_OF_INITIAL, RATE_RANGE, RATE_THRESHOLD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frequency</w:t>
            </w:r>
          </w:p>
        </w:tc>
        <w:tc>
          <w:tcPr>
            <w:tcW w:type="dxa" w:w="7920"/>
          </w:tcPr>
          <w:p>
            <w:r>
              <w:rPr>
                <w:sz w:val="16"/>
              </w:rPr>
              <w:t>MONTHLY, QUARTERLY, SEMI_ANNUAL, ANNUAL, AT_MATURITY, NONE, SEMI_ANNUAL_THEN_QUARTERLY, ANNUAL_THEN_QUARTERLY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